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E3D" w:rsidRDefault="009E6E3D" w:rsidP="009E6E3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</w:pPr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Порядок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подання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розгляду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</w:t>
      </w:r>
    </w:p>
    <w:p w:rsidR="009E6E3D" w:rsidRPr="009E6E3D" w:rsidRDefault="009E6E3D" w:rsidP="009E6E3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</w:pPr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(з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дотриманням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конфіденційності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)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заяв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випадки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) у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закладі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color w:val="36578B"/>
          <w:kern w:val="36"/>
          <w:sz w:val="48"/>
          <w:szCs w:val="48"/>
          <w:lang w:val="ru-UA" w:eastAsia="ru-UA"/>
        </w:rPr>
        <w:t>освіти</w:t>
      </w:r>
      <w:proofErr w:type="spellEnd"/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1.Заяву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має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право подати будь-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учасник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освітнього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процесу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став жертвою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закладі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можуть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бути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усній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письмовій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формі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в тому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числі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із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застосуванням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засобів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електронної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комунікації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Інформація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виявлені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факти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вчинення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вноситься до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журналі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реєстрації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фактів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виявлення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вчинення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домашнього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ознакою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статі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2.Заява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подається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безпосередньо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для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здійснення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невідкладних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заходів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реагування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випадках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виявлення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фактів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відповідно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до Закону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«Про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громадян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», а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разі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його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відсутності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–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уповноваженій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особі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для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здійснення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невідкладних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заходів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реагування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випадках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виявлення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фактів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).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3.Здобувач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став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свідком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школі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зобов’язаний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повідомити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це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вчителя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вихователя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психолога,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уповноважену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особу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безпосередньо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4.Педагог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інший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працівник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став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свідком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отримав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факт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здобувача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свідком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учасником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зобов’язаний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повідомити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безпосередньо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цей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факт, а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разі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його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відсутності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–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уповноважену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особу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5.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невідкладно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строк у строк,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не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перевищує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однієї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доби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повідомляє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отримання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територіальний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орган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підрозділ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Національної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поліції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принаймні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одного з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батьків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інших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законних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представників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малолітньої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чи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неповнолітньої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особи, яка стала стороною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).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6.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повідомляє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службу у справах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дітей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метою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вирішення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питання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щодо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соціального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захисту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малолітньої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чи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неповнолітньої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lastRenderedPageBreak/>
        <w:t xml:space="preserve">особи, яка стала стороною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з’ясування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причин,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призвели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вжиття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заходів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для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усунення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таких причин.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7.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повідомляє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центр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служб для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сім’ї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дітей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молоді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метою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здійснення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оцінки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потреб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сторін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визначення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послуг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методів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роботи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забезпечення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психологічної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підтримки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надання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послуг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8.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термін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не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пізніше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ніж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упродовж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трьох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робочих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днів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дня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отримання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заяви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повідомлення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створює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наказом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комісію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розгляду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випадків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).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9.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Якщо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факт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насилля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визнаний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як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одноразовий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конфлікт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чи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сварка, 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закладі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організовується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робота з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питання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щодо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налагодження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мікроклімату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дитячому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середовищі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розв’язання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конфлікту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</w:p>
    <w:p w:rsidR="009E6E3D" w:rsidRPr="009E6E3D" w:rsidRDefault="009E6E3D" w:rsidP="009E6E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10.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Здобувач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його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законні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представники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можуть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звернутись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безпосередньо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гарячу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лінію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ГО «Ла Страда-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» з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протидії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сім’ї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із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захисту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прав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дітей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; до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служби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питань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сім’ї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дітей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молоді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;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Національної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поліції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; Центру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надання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безоплатної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правової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допомоги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Після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отримання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дитини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відповідна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особа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або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орган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інформує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письмовій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формі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випадок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.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Керівник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закладу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зобов’язаний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розглянути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таке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звернення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відповідно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до Порядку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подання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розгляду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(з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дотриманням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конфіденційності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заяв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закладі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Порядку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реагування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випадки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 в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закладі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освіти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відповідальність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осіб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причетних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до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насильства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цькування</w:t>
      </w:r>
      <w:proofErr w:type="spellEnd"/>
      <w:r w:rsidRPr="009E6E3D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).</w:t>
      </w:r>
    </w:p>
    <w:p w:rsidR="00B341C1" w:rsidRPr="009E6E3D" w:rsidRDefault="00B341C1" w:rsidP="009E6E3D">
      <w:pPr>
        <w:jc w:val="both"/>
        <w:rPr>
          <w:rFonts w:ascii="Times New Roman" w:hAnsi="Times New Roman" w:cs="Times New Roman"/>
          <w:lang w:val="ru-UA"/>
        </w:rPr>
      </w:pPr>
    </w:p>
    <w:sectPr w:rsidR="00B341C1" w:rsidRPr="009E6E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D"/>
    <w:rsid w:val="009E6E3D"/>
    <w:rsid w:val="00B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1D6"/>
  <w15:chartTrackingRefBased/>
  <w15:docId w15:val="{6AE2EF0E-0C22-4664-88BF-276C193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Захарченко</dc:creator>
  <cp:keywords/>
  <dc:description/>
  <cp:lastModifiedBy>Ілона Захарченко</cp:lastModifiedBy>
  <cp:revision>1</cp:revision>
  <dcterms:created xsi:type="dcterms:W3CDTF">2021-02-27T13:41:00Z</dcterms:created>
  <dcterms:modified xsi:type="dcterms:W3CDTF">2021-02-27T13:44:00Z</dcterms:modified>
</cp:coreProperties>
</file>